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4608" w14:textId="77777777" w:rsidR="00E926DA" w:rsidRDefault="00E926DA">
      <w:proofErr w:type="spellStart"/>
      <w:r>
        <w:t>Self Assessment</w:t>
      </w:r>
      <w:proofErr w:type="spellEnd"/>
      <w:r>
        <w:t xml:space="preserve"> Round 3</w:t>
      </w:r>
    </w:p>
    <w:tbl>
      <w:tblPr>
        <w:tblW w:w="0" w:type="auto"/>
        <w:shd w:val="clear" w:color="auto" w:fill="FFFFFF"/>
        <w:tblCellMar>
          <w:left w:w="0" w:type="dxa"/>
          <w:right w:w="0" w:type="dxa"/>
        </w:tblCellMar>
        <w:tblLook w:val="04A0" w:firstRow="1" w:lastRow="0" w:firstColumn="1" w:lastColumn="0" w:noHBand="0" w:noVBand="1"/>
      </w:tblPr>
      <w:tblGrid>
        <w:gridCol w:w="2868"/>
        <w:gridCol w:w="1620"/>
        <w:gridCol w:w="1291"/>
        <w:gridCol w:w="1352"/>
        <w:gridCol w:w="2209"/>
      </w:tblGrid>
      <w:tr w:rsidR="00E926DA" w:rsidRPr="00E926DA" w14:paraId="7E9B67FA" w14:textId="77777777" w:rsidTr="00E926DA">
        <w:tc>
          <w:tcPr>
            <w:tcW w:w="28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C4556F"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Criteria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0E4377"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Proficient (100%)</w:t>
            </w:r>
          </w:p>
        </w:tc>
        <w:tc>
          <w:tcPr>
            <w:tcW w:w="12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3EF24B"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Developing</w:t>
            </w:r>
          </w:p>
          <w:p w14:paraId="2BE1D45B"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(85 %)</w:t>
            </w:r>
          </w:p>
        </w:tc>
        <w:tc>
          <w:tcPr>
            <w:tcW w:w="13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9C67E0"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Minimum Performance (70%)</w:t>
            </w:r>
          </w:p>
        </w:tc>
        <w:tc>
          <w:tcPr>
            <w:tcW w:w="22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49B46C"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Unsatisfactory (0%) </w:t>
            </w:r>
          </w:p>
        </w:tc>
      </w:tr>
      <w:tr w:rsidR="00E926DA" w:rsidRPr="00E926DA" w14:paraId="752E6A09" w14:textId="77777777" w:rsidTr="00E926DA">
        <w:tc>
          <w:tcPr>
            <w:tcW w:w="2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F0CC5F"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Content &amp; Focus</w:t>
            </w:r>
          </w:p>
          <w:p w14:paraId="72DD1760"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 </w:t>
            </w:r>
          </w:p>
          <w:p w14:paraId="26D6A6ED"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(25%)</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E9F0D"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highlight w:val="yellow"/>
                <w:bdr w:val="none" w:sz="0" w:space="0" w:color="auto" w:frame="1"/>
                <w:lang w:eastAsia="zh-CN"/>
              </w:rPr>
              <w:t>Clearly understands content, focused upon most relevant information.  And uses best sources of evidence</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87E1A"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bdr w:val="none" w:sz="0" w:space="0" w:color="auto" w:frame="1"/>
                <w:lang w:eastAsia="zh-CN"/>
              </w:rPr>
              <w:t>Familiar with content, may not be appropriately focused or does not use best sources of evidence</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CA971E"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bdr w:val="none" w:sz="0" w:space="0" w:color="auto" w:frame="1"/>
                <w:lang w:eastAsia="zh-CN"/>
              </w:rPr>
              <w:t xml:space="preserve">Has some familiarity with content, but does not focus on most important </w:t>
            </w:r>
            <w:proofErr w:type="gramStart"/>
            <w:r w:rsidRPr="00E926DA">
              <w:rPr>
                <w:rFonts w:ascii="Arial" w:hAnsi="Arial" w:cs="Arial"/>
                <w:color w:val="111111"/>
                <w:sz w:val="20"/>
                <w:szCs w:val="20"/>
                <w:bdr w:val="none" w:sz="0" w:space="0" w:color="auto" w:frame="1"/>
                <w:lang w:eastAsia="zh-CN"/>
              </w:rPr>
              <w:t>elements.</w:t>
            </w:r>
            <w:proofErr w:type="gramEnd"/>
            <w:r w:rsidRPr="00E926DA">
              <w:rPr>
                <w:rFonts w:ascii="Arial" w:hAnsi="Arial" w:cs="Arial"/>
                <w:color w:val="111111"/>
                <w:sz w:val="20"/>
                <w:szCs w:val="20"/>
                <w:bdr w:val="none" w:sz="0" w:space="0" w:color="auto" w:frame="1"/>
                <w:lang w:eastAsia="zh-CN"/>
              </w:rPr>
              <w:t xml:space="preserve"> Sources are tangentially relevant, but not completely on target.</w:t>
            </w:r>
          </w:p>
        </w:tc>
        <w:tc>
          <w:tcPr>
            <w:tcW w:w="2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4347C"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bdr w:val="none" w:sz="0" w:space="0" w:color="auto" w:frame="1"/>
                <w:lang w:eastAsia="zh-CN"/>
              </w:rPr>
              <w:t>Unfamiliar with content required for participation.</w:t>
            </w:r>
          </w:p>
        </w:tc>
      </w:tr>
      <w:tr w:rsidR="00E926DA" w:rsidRPr="00E926DA" w14:paraId="510C0F63" w14:textId="77777777" w:rsidTr="00E926DA">
        <w:tc>
          <w:tcPr>
            <w:tcW w:w="2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A6D82E"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Logic &amp; Flow</w:t>
            </w:r>
          </w:p>
          <w:p w14:paraId="6BC00864"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 </w:t>
            </w:r>
          </w:p>
          <w:p w14:paraId="410EE08F"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(25%)</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C9AE14" w14:textId="77777777" w:rsidR="00E926DA" w:rsidRPr="009B7417" w:rsidRDefault="00E926DA" w:rsidP="00E926DA">
            <w:pPr>
              <w:rPr>
                <w:rFonts w:ascii="inherit" w:hAnsi="inherit" w:cs="Times New Roman"/>
                <w:color w:val="111111"/>
                <w:sz w:val="20"/>
                <w:szCs w:val="20"/>
                <w:highlight w:val="yellow"/>
                <w:lang w:eastAsia="zh-CN"/>
              </w:rPr>
            </w:pPr>
            <w:r w:rsidRPr="009B7417">
              <w:rPr>
                <w:rFonts w:ascii="Arial" w:hAnsi="Arial" w:cs="Arial"/>
                <w:color w:val="111111"/>
                <w:sz w:val="20"/>
                <w:szCs w:val="20"/>
                <w:highlight w:val="yellow"/>
                <w:bdr w:val="none" w:sz="0" w:space="0" w:color="auto" w:frame="1"/>
                <w:lang w:eastAsia="zh-CN"/>
              </w:rPr>
              <w:t>Able to present an argument or topic in a logical and organized fashion.</w:t>
            </w:r>
            <w:bookmarkStart w:id="0" w:name="_GoBack"/>
            <w:bookmarkEnd w:id="0"/>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283731"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bdr w:val="none" w:sz="0" w:space="0" w:color="auto" w:frame="1"/>
                <w:lang w:eastAsia="zh-CN"/>
              </w:rPr>
              <w:t>Presents an argument or topic in a thorough way, but needs better logic or organization</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A2B71"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bdr w:val="none" w:sz="0" w:space="0" w:color="auto" w:frame="1"/>
                <w:lang w:eastAsia="zh-CN"/>
              </w:rPr>
              <w:t>Presents some aspects of topic well, but lacks logic or organization in other aspects</w:t>
            </w:r>
          </w:p>
        </w:tc>
        <w:tc>
          <w:tcPr>
            <w:tcW w:w="2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C16351"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bdr w:val="none" w:sz="0" w:space="0" w:color="auto" w:frame="1"/>
                <w:lang w:eastAsia="zh-CN"/>
              </w:rPr>
              <w:t>Disorganized presentation, not supporting point of view.</w:t>
            </w:r>
          </w:p>
        </w:tc>
      </w:tr>
      <w:tr w:rsidR="00E926DA" w:rsidRPr="00E926DA" w14:paraId="62B962ED" w14:textId="77777777" w:rsidTr="00E926DA">
        <w:tc>
          <w:tcPr>
            <w:tcW w:w="2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B737A2"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Analysis</w:t>
            </w:r>
          </w:p>
          <w:p w14:paraId="4DDE268E"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 </w:t>
            </w:r>
          </w:p>
          <w:p w14:paraId="5E79F438"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(40%)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AF1FF" w14:textId="77777777" w:rsidR="00E926DA" w:rsidRPr="009B7417" w:rsidRDefault="00E926DA" w:rsidP="00E926DA">
            <w:pPr>
              <w:rPr>
                <w:rFonts w:ascii="inherit" w:hAnsi="inherit" w:cs="Times New Roman"/>
                <w:color w:val="111111"/>
                <w:sz w:val="20"/>
                <w:szCs w:val="20"/>
                <w:highlight w:val="yellow"/>
                <w:lang w:eastAsia="zh-CN"/>
              </w:rPr>
            </w:pPr>
            <w:r w:rsidRPr="009B7417">
              <w:rPr>
                <w:rFonts w:ascii="Arial" w:hAnsi="Arial" w:cs="Arial"/>
                <w:color w:val="111111"/>
                <w:sz w:val="20"/>
                <w:szCs w:val="20"/>
                <w:highlight w:val="yellow"/>
                <w:bdr w:val="none" w:sz="0" w:space="0" w:color="auto" w:frame="1"/>
                <w:lang w:eastAsia="zh-CN"/>
              </w:rPr>
              <w:t>Identifies relationships and components to clearly support opinions or ideas</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27B75" w14:textId="77777777" w:rsidR="00E926DA" w:rsidRPr="00E926DA" w:rsidRDefault="00E926DA" w:rsidP="00E926DA">
            <w:pPr>
              <w:rPr>
                <w:rFonts w:ascii="inherit" w:hAnsi="inherit" w:cs="Times New Roman"/>
                <w:color w:val="111111"/>
                <w:sz w:val="20"/>
                <w:szCs w:val="20"/>
                <w:lang w:eastAsia="zh-CN"/>
              </w:rPr>
            </w:pPr>
            <w:r w:rsidRPr="000E2D21">
              <w:rPr>
                <w:rFonts w:ascii="Arial" w:hAnsi="Arial" w:cs="Arial"/>
                <w:color w:val="111111"/>
                <w:sz w:val="20"/>
                <w:szCs w:val="20"/>
                <w:highlight w:val="yellow"/>
                <w:bdr w:val="none" w:sz="0" w:space="0" w:color="auto" w:frame="1"/>
                <w:lang w:eastAsia="zh-CN"/>
              </w:rPr>
              <w:t>I</w:t>
            </w:r>
            <w:r w:rsidRPr="009B7417">
              <w:rPr>
                <w:rFonts w:ascii="Arial" w:hAnsi="Arial" w:cs="Arial"/>
                <w:color w:val="111111"/>
                <w:sz w:val="20"/>
                <w:szCs w:val="20"/>
                <w:bdr w:val="none" w:sz="0" w:space="0" w:color="auto" w:frame="1"/>
                <w:lang w:eastAsia="zh-CN"/>
              </w:rPr>
              <w:t>dentifies relationships and components, but lacks clarity in supporting opinions or ideas</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71DB5"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bdr w:val="none" w:sz="0" w:space="0" w:color="auto" w:frame="1"/>
                <w:lang w:eastAsia="zh-CN"/>
              </w:rPr>
              <w:t>Identifies some relationships and components, but lacks some important connections.</w:t>
            </w:r>
          </w:p>
        </w:tc>
        <w:tc>
          <w:tcPr>
            <w:tcW w:w="2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B794D"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111111"/>
                <w:sz w:val="20"/>
                <w:szCs w:val="20"/>
                <w:bdr w:val="none" w:sz="0" w:space="0" w:color="auto" w:frame="1"/>
                <w:lang w:eastAsia="zh-CN"/>
              </w:rPr>
              <w:t>Does not identify components or relationships.</w:t>
            </w:r>
          </w:p>
        </w:tc>
      </w:tr>
      <w:tr w:rsidR="00E926DA" w:rsidRPr="00E926DA" w14:paraId="72D0D716" w14:textId="77777777" w:rsidTr="00E926DA">
        <w:tc>
          <w:tcPr>
            <w:tcW w:w="2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1503C6"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Communication/Collaboration</w:t>
            </w:r>
          </w:p>
          <w:p w14:paraId="2A3EAF6D"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b/>
                <w:bCs/>
                <w:color w:val="111111"/>
                <w:sz w:val="20"/>
                <w:szCs w:val="20"/>
                <w:bdr w:val="none" w:sz="0" w:space="0" w:color="auto" w:frame="1"/>
                <w:lang w:eastAsia="zh-CN"/>
              </w:rPr>
              <w:t>(10%)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CC309"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000000"/>
                <w:sz w:val="20"/>
                <w:szCs w:val="20"/>
                <w:bdr w:val="none" w:sz="0" w:space="0" w:color="auto" w:frame="1"/>
                <w:lang w:eastAsia="zh-CN"/>
              </w:rPr>
              <w:t>Demonstrates good listening and reflecting skills and contributes appropriately</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331353"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000000"/>
                <w:sz w:val="20"/>
                <w:szCs w:val="20"/>
                <w:highlight w:val="yellow"/>
                <w:bdr w:val="none" w:sz="0" w:space="0" w:color="auto" w:frame="1"/>
                <w:lang w:eastAsia="zh-CN"/>
              </w:rPr>
              <w:t>Listening or reflecting skills are good and contributes appropriately</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935F0"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000000"/>
                <w:sz w:val="20"/>
                <w:szCs w:val="20"/>
                <w:bdr w:val="none" w:sz="0" w:space="0" w:color="auto" w:frame="1"/>
                <w:lang w:eastAsia="zh-CN"/>
              </w:rPr>
              <w:t>Listening or reflecting skills are minimal and contributes only minimally</w:t>
            </w:r>
          </w:p>
        </w:tc>
        <w:tc>
          <w:tcPr>
            <w:tcW w:w="2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70969" w14:textId="77777777" w:rsidR="00E926DA" w:rsidRPr="00E926DA" w:rsidRDefault="00E926DA" w:rsidP="00E926DA">
            <w:pPr>
              <w:rPr>
                <w:rFonts w:ascii="inherit" w:hAnsi="inherit" w:cs="Times New Roman"/>
                <w:color w:val="111111"/>
                <w:sz w:val="20"/>
                <w:szCs w:val="20"/>
                <w:lang w:eastAsia="zh-CN"/>
              </w:rPr>
            </w:pPr>
            <w:r w:rsidRPr="00E926DA">
              <w:rPr>
                <w:rFonts w:ascii="Arial" w:hAnsi="Arial" w:cs="Arial"/>
                <w:color w:val="000000"/>
                <w:sz w:val="20"/>
                <w:szCs w:val="20"/>
                <w:bdr w:val="none" w:sz="0" w:space="0" w:color="auto" w:frame="1"/>
                <w:lang w:eastAsia="zh-CN"/>
              </w:rPr>
              <w:t xml:space="preserve">Does not </w:t>
            </w:r>
            <w:proofErr w:type="gramStart"/>
            <w:r w:rsidRPr="00E926DA">
              <w:rPr>
                <w:rFonts w:ascii="Arial" w:hAnsi="Arial" w:cs="Arial"/>
                <w:color w:val="000000"/>
                <w:sz w:val="20"/>
                <w:szCs w:val="20"/>
                <w:bdr w:val="none" w:sz="0" w:space="0" w:color="auto" w:frame="1"/>
                <w:lang w:eastAsia="zh-CN"/>
              </w:rPr>
              <w:t>contribute  appropriately</w:t>
            </w:r>
            <w:proofErr w:type="gramEnd"/>
            <w:r w:rsidRPr="00E926DA">
              <w:rPr>
                <w:rFonts w:ascii="Arial" w:hAnsi="Arial" w:cs="Arial"/>
                <w:color w:val="000000"/>
                <w:sz w:val="20"/>
                <w:szCs w:val="20"/>
                <w:bdr w:val="none" w:sz="0" w:space="0" w:color="auto" w:frame="1"/>
                <w:lang w:eastAsia="zh-CN"/>
              </w:rPr>
              <w:t xml:space="preserve"> or lacks listening and reflecting skills</w:t>
            </w:r>
          </w:p>
        </w:tc>
      </w:tr>
    </w:tbl>
    <w:p w14:paraId="50D84DF1" w14:textId="77777777" w:rsidR="001371A6" w:rsidRDefault="00581F93"/>
    <w:p w14:paraId="594E5821" w14:textId="32F045C3" w:rsidR="00B31185" w:rsidRDefault="00B31185">
      <w:r>
        <w:t>I learn more about coming up with differential diagnosis, asking history, and ordering the relevant labs and imaging studies in this class. In the clinical year, I still need to work on the management</w:t>
      </w:r>
      <w:r w:rsidR="00921BF0">
        <w:t xml:space="preserve"> part</w:t>
      </w:r>
      <w:r>
        <w:t xml:space="preserve"> of the patient.  This will be more difficult because we need to consider the patient as a whole. The patient may have other </w:t>
      </w:r>
      <w:r w:rsidR="00921BF0">
        <w:t>past medical history</w:t>
      </w:r>
      <w:r>
        <w:t xml:space="preserve"> besides the chief complaint</w:t>
      </w:r>
      <w:r w:rsidR="00921BF0">
        <w:t xml:space="preserve">. </w:t>
      </w:r>
      <w:r>
        <w:t xml:space="preserve">  </w:t>
      </w:r>
    </w:p>
    <w:p w14:paraId="15330692" w14:textId="0DEECB99" w:rsidR="00E926DA" w:rsidRDefault="001C142D">
      <w:r>
        <w:t xml:space="preserve">The resources that I have found very helpful for this course is </w:t>
      </w:r>
      <w:proofErr w:type="spellStart"/>
      <w:r>
        <w:t>Up</w:t>
      </w:r>
      <w:r w:rsidR="0044497C">
        <w:t>todate</w:t>
      </w:r>
      <w:proofErr w:type="spellEnd"/>
      <w:r w:rsidR="0044497C">
        <w:t>. All the pathophysiology</w:t>
      </w:r>
      <w:r w:rsidR="009F71E1">
        <w:t>/etiology</w:t>
      </w:r>
      <w:r w:rsidR="0044497C">
        <w:t xml:space="preserve">, </w:t>
      </w:r>
      <w:r w:rsidR="00430700">
        <w:t xml:space="preserve">signs and symptoms, lab studies and imaging studies, treatment are listed. These information is also based on the most up to date resources. The other useful </w:t>
      </w:r>
      <w:r w:rsidR="00430700">
        <w:lastRenderedPageBreak/>
        <w:t xml:space="preserve">resource is the book, </w:t>
      </w:r>
      <w:proofErr w:type="spellStart"/>
      <w:r w:rsidR="00430700">
        <w:t>Pance</w:t>
      </w:r>
      <w:proofErr w:type="spellEnd"/>
      <w:r w:rsidR="00430700">
        <w:t xml:space="preserve"> Prep Pearl. The book condenses all the disease</w:t>
      </w:r>
      <w:r w:rsidR="009F71E1">
        <w:t>s</w:t>
      </w:r>
      <w:r w:rsidR="00430700">
        <w:t xml:space="preserve"> an</w:t>
      </w:r>
      <w:r w:rsidR="009F71E1">
        <w:t>d highlights</w:t>
      </w:r>
      <w:r w:rsidR="00430700">
        <w:t xml:space="preserve"> all the important points. I will continue to use these in the clinical year.</w:t>
      </w:r>
      <w:r w:rsidR="000E6911">
        <w:t xml:space="preserve"> I will advise the students in the class behind me that it is important to reach out to the professor when they are confused about the assignment, because the professors are always willing to help.</w:t>
      </w:r>
    </w:p>
    <w:sectPr w:rsidR="00E926DA" w:rsidSect="0048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DA"/>
    <w:rsid w:val="000B7B22"/>
    <w:rsid w:val="000E2D21"/>
    <w:rsid w:val="000E6911"/>
    <w:rsid w:val="00134FEB"/>
    <w:rsid w:val="001C142D"/>
    <w:rsid w:val="002B6678"/>
    <w:rsid w:val="003469C9"/>
    <w:rsid w:val="003753C4"/>
    <w:rsid w:val="00430700"/>
    <w:rsid w:val="0044497C"/>
    <w:rsid w:val="004810A9"/>
    <w:rsid w:val="004C561A"/>
    <w:rsid w:val="00581F93"/>
    <w:rsid w:val="00675A4C"/>
    <w:rsid w:val="007925F5"/>
    <w:rsid w:val="00797F55"/>
    <w:rsid w:val="0087550C"/>
    <w:rsid w:val="008D53FD"/>
    <w:rsid w:val="00921BF0"/>
    <w:rsid w:val="00960FD0"/>
    <w:rsid w:val="009B7417"/>
    <w:rsid w:val="009F71E1"/>
    <w:rsid w:val="00AB1C7F"/>
    <w:rsid w:val="00B31185"/>
    <w:rsid w:val="00B563AE"/>
    <w:rsid w:val="00BD7DA1"/>
    <w:rsid w:val="00D3731B"/>
    <w:rsid w:val="00D831FD"/>
    <w:rsid w:val="00E722CE"/>
    <w:rsid w:val="00E926DA"/>
    <w:rsid w:val="00ED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102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6DA"/>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6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378</Words>
  <Characters>2157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2018-12-10T22:01:00Z</dcterms:created>
  <dcterms:modified xsi:type="dcterms:W3CDTF">2018-12-10T22:43:00Z</dcterms:modified>
</cp:coreProperties>
</file>